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21CC9" w:rsidRDefault="00B21CC9" w:rsidP="00B21CC9">
      <w:pPr>
        <w:spacing w:before="100" w:beforeAutospacing="1" w:after="100" w:afterAutospacing="1" w:line="240" w:lineRule="auto"/>
        <w:outlineLvl w:val="0"/>
        <w:rPr>
          <w:rFonts w:ascii="Times New Roman" w:eastAsia="Times New Roman" w:hAnsi="Times New Roman" w:cs="Times New Roman"/>
          <w:b/>
          <w:bCs/>
          <w:kern w:val="36"/>
          <w:sz w:val="48"/>
          <w:szCs w:val="48"/>
          <w:lang w:eastAsia="es-ES"/>
        </w:rPr>
      </w:pPr>
      <w:r w:rsidRPr="00275BD6">
        <w:rPr>
          <w:rFonts w:ascii="Times New Roman" w:eastAsia="Times New Roman" w:hAnsi="Times New Roman" w:cs="Times New Roman"/>
          <w:b/>
          <w:bCs/>
          <w:kern w:val="36"/>
          <w:sz w:val="48"/>
          <w:szCs w:val="48"/>
          <w:lang w:eastAsia="es-ES"/>
        </w:rPr>
        <w:t>Impacto de la edad del donante de órganos en el apro</w:t>
      </w:r>
      <w:r>
        <w:rPr>
          <w:rFonts w:ascii="Times New Roman" w:eastAsia="Times New Roman" w:hAnsi="Times New Roman" w:cs="Times New Roman"/>
          <w:b/>
          <w:bCs/>
          <w:kern w:val="36"/>
          <w:sz w:val="48"/>
          <w:szCs w:val="48"/>
          <w:lang w:eastAsia="es-ES"/>
        </w:rPr>
        <w:t>vechamiento tisular en España: A</w:t>
      </w:r>
      <w:r w:rsidRPr="00275BD6">
        <w:rPr>
          <w:rFonts w:ascii="Times New Roman" w:eastAsia="Times New Roman" w:hAnsi="Times New Roman" w:cs="Times New Roman"/>
          <w:b/>
          <w:bCs/>
          <w:kern w:val="36"/>
          <w:sz w:val="48"/>
          <w:szCs w:val="48"/>
          <w:lang w:eastAsia="es-ES"/>
        </w:rPr>
        <w:t>nálisis nacional de la actividad 2024–2025</w:t>
      </w:r>
    </w:p>
    <w:p w:rsidR="005C4FA0" w:rsidRDefault="005C4FA0" w:rsidP="005C4FA0">
      <w:pPr>
        <w:spacing w:before="100" w:beforeAutospacing="1" w:after="100" w:afterAutospacing="1" w:line="240" w:lineRule="auto"/>
        <w:outlineLvl w:val="1"/>
        <w:rPr>
          <w:rFonts w:ascii="Times New Roman" w:eastAsia="Times New Roman" w:hAnsi="Times New Roman" w:cs="Times New Roman"/>
          <w:b/>
          <w:bCs/>
          <w:sz w:val="36"/>
          <w:szCs w:val="36"/>
          <w:lang w:eastAsia="es-ES"/>
        </w:rPr>
      </w:pPr>
      <w:r w:rsidRPr="005C4FA0">
        <w:rPr>
          <w:rFonts w:ascii="Times New Roman" w:eastAsia="Times New Roman" w:hAnsi="Times New Roman" w:cs="Times New Roman"/>
          <w:b/>
          <w:bCs/>
          <w:sz w:val="36"/>
          <w:szCs w:val="36"/>
          <w:lang w:eastAsia="es-ES"/>
        </w:rPr>
        <w:t>Autores</w:t>
      </w:r>
    </w:p>
    <w:p w:rsidR="00BD4A7B" w:rsidRDefault="00BD4A7B" w:rsidP="005C4FA0">
      <w:pPr>
        <w:spacing w:before="100" w:beforeAutospacing="1" w:after="100" w:afterAutospacing="1" w:line="240" w:lineRule="auto"/>
        <w:outlineLvl w:val="1"/>
        <w:rPr>
          <w:rFonts w:ascii="Times New Roman" w:eastAsia="Times New Roman" w:hAnsi="Times New Roman" w:cs="Times New Roman"/>
          <w:sz w:val="24"/>
          <w:szCs w:val="24"/>
          <w:lang w:eastAsia="es-ES"/>
        </w:rPr>
      </w:pPr>
      <w:r w:rsidRPr="00BD4A7B">
        <w:rPr>
          <w:rFonts w:ascii="Times New Roman" w:eastAsia="Times New Roman" w:hAnsi="Times New Roman" w:cs="Times New Roman"/>
          <w:sz w:val="24"/>
          <w:szCs w:val="24"/>
          <w:lang w:eastAsia="es-ES"/>
        </w:rPr>
        <w:t>Raquel</w:t>
      </w:r>
      <w:r>
        <w:rPr>
          <w:rFonts w:ascii="Times New Roman" w:eastAsia="Times New Roman" w:hAnsi="Times New Roman" w:cs="Times New Roman"/>
          <w:sz w:val="24"/>
          <w:szCs w:val="24"/>
          <w:lang w:eastAsia="es-ES"/>
        </w:rPr>
        <w:t xml:space="preserve"> Castro Camarero, Nuria Garcia Moriche, Dolores Hernandez Maraver,</w:t>
      </w:r>
      <w:r w:rsidR="00AA1C8A">
        <w:rPr>
          <w:rFonts w:ascii="Times New Roman" w:eastAsia="Times New Roman" w:hAnsi="Times New Roman" w:cs="Times New Roman"/>
          <w:sz w:val="24"/>
          <w:szCs w:val="24"/>
          <w:lang w:eastAsia="es-ES"/>
        </w:rPr>
        <w:t xml:space="preserve"> Marina Álvarez Miranda,</w:t>
      </w:r>
      <w:bookmarkStart w:id="0" w:name="_GoBack"/>
      <w:bookmarkEnd w:id="0"/>
      <w:r>
        <w:rPr>
          <w:rFonts w:ascii="Times New Roman" w:eastAsia="Times New Roman" w:hAnsi="Times New Roman" w:cs="Times New Roman"/>
          <w:sz w:val="24"/>
          <w:szCs w:val="24"/>
          <w:lang w:eastAsia="es-ES"/>
        </w:rPr>
        <w:t xml:space="preserve"> Mar Carmona Sanz, Rebeca Sánchez Pérez, Verónica </w:t>
      </w:r>
      <w:proofErr w:type="spellStart"/>
      <w:r>
        <w:rPr>
          <w:rFonts w:ascii="Times New Roman" w:eastAsia="Times New Roman" w:hAnsi="Times New Roman" w:cs="Times New Roman"/>
          <w:sz w:val="24"/>
          <w:szCs w:val="24"/>
          <w:lang w:eastAsia="es-ES"/>
        </w:rPr>
        <w:t>Caviedes</w:t>
      </w:r>
      <w:proofErr w:type="spellEnd"/>
      <w:r>
        <w:rPr>
          <w:rFonts w:ascii="Times New Roman" w:eastAsia="Times New Roman" w:hAnsi="Times New Roman" w:cs="Times New Roman"/>
          <w:sz w:val="24"/>
          <w:szCs w:val="24"/>
          <w:lang w:eastAsia="es-ES"/>
        </w:rPr>
        <w:t xml:space="preserve"> López, Bibiana Ramos Suarez, Itziar Martinez Alpuente, Beatriz Domínguez Gil. </w:t>
      </w:r>
    </w:p>
    <w:p w:rsidR="00BD4A7B" w:rsidRDefault="00BD4A7B" w:rsidP="005C4FA0">
      <w:pPr>
        <w:spacing w:before="100" w:beforeAutospacing="1" w:after="100" w:afterAutospacing="1" w:line="240" w:lineRule="auto"/>
        <w:outlineLvl w:val="1"/>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t>(En representación de todos los miembros del PENT)</w:t>
      </w:r>
    </w:p>
    <w:p w:rsidR="00BD4A7B" w:rsidRPr="00BD4A7B" w:rsidRDefault="00BD4A7B" w:rsidP="005C4FA0">
      <w:pPr>
        <w:spacing w:before="100" w:beforeAutospacing="1" w:after="100" w:afterAutospacing="1" w:line="240" w:lineRule="auto"/>
        <w:outlineLvl w:val="1"/>
        <w:rPr>
          <w:rFonts w:ascii="Times New Roman" w:eastAsia="Times New Roman" w:hAnsi="Times New Roman" w:cs="Times New Roman"/>
          <w:sz w:val="24"/>
          <w:szCs w:val="24"/>
          <w:lang w:eastAsia="es-ES"/>
        </w:rPr>
      </w:pPr>
    </w:p>
    <w:p w:rsidR="00B21CC9" w:rsidRPr="00275BD6" w:rsidRDefault="00BD4A7B" w:rsidP="00B21CC9">
      <w:pPr>
        <w:spacing w:before="100" w:beforeAutospacing="1" w:after="100" w:afterAutospacing="1" w:line="240" w:lineRule="auto"/>
        <w:outlineLvl w:val="1"/>
        <w:rPr>
          <w:rFonts w:ascii="Times New Roman" w:eastAsia="Times New Roman" w:hAnsi="Times New Roman" w:cs="Times New Roman"/>
          <w:b/>
          <w:bCs/>
          <w:sz w:val="36"/>
          <w:szCs w:val="36"/>
          <w:lang w:eastAsia="es-ES"/>
        </w:rPr>
      </w:pPr>
      <w:r>
        <w:rPr>
          <w:rFonts w:ascii="Times New Roman" w:eastAsia="Times New Roman" w:hAnsi="Times New Roman" w:cs="Times New Roman"/>
          <w:b/>
          <w:bCs/>
          <w:sz w:val="36"/>
          <w:szCs w:val="36"/>
          <w:lang w:eastAsia="es-ES"/>
        </w:rPr>
        <w:t>Observación</w:t>
      </w:r>
    </w:p>
    <w:p w:rsidR="00B21CC9" w:rsidRPr="00275BD6" w:rsidRDefault="00B21CC9" w:rsidP="00B21CC9">
      <w:pPr>
        <w:spacing w:before="100" w:beforeAutospacing="1" w:after="100" w:afterAutospacing="1" w:line="240" w:lineRule="auto"/>
        <w:jc w:val="both"/>
        <w:rPr>
          <w:rFonts w:ascii="Times New Roman" w:eastAsia="Times New Roman" w:hAnsi="Times New Roman" w:cs="Times New Roman"/>
          <w:sz w:val="24"/>
          <w:szCs w:val="24"/>
          <w:lang w:eastAsia="es-ES"/>
        </w:rPr>
      </w:pPr>
      <w:r w:rsidRPr="00275BD6">
        <w:rPr>
          <w:rFonts w:ascii="Times New Roman" w:eastAsia="Times New Roman" w:hAnsi="Times New Roman" w:cs="Times New Roman"/>
          <w:sz w:val="24"/>
          <w:szCs w:val="24"/>
          <w:lang w:eastAsia="es-ES"/>
        </w:rPr>
        <w:t>El progresivo envejecimiento del perfil del donante constituye una característica estructural del modelo español de donación y trasplantes coordinado por la Organización Nacional de Trasplantes. En los últimos años, el aumento de donantes de edad avanzada ha transformado el escenario de la donación de órganos y plantea interrogantes sobre su posible repercusión en la actividad de extracción de tejidos.</w:t>
      </w:r>
    </w:p>
    <w:p w:rsidR="005C4FA0" w:rsidRPr="00275BD6" w:rsidRDefault="005C4FA0" w:rsidP="00B21CC9">
      <w:pPr>
        <w:spacing w:before="100" w:beforeAutospacing="1" w:after="100" w:afterAutospacing="1" w:line="240" w:lineRule="auto"/>
        <w:jc w:val="both"/>
        <w:rPr>
          <w:rFonts w:ascii="Times New Roman" w:eastAsia="Times New Roman" w:hAnsi="Times New Roman" w:cs="Times New Roman"/>
          <w:sz w:val="24"/>
          <w:szCs w:val="24"/>
          <w:lang w:eastAsia="es-ES"/>
        </w:rPr>
      </w:pPr>
      <w:r w:rsidRPr="005C4FA0">
        <w:rPr>
          <w:rFonts w:ascii="Times New Roman" w:eastAsia="Times New Roman" w:hAnsi="Times New Roman" w:cs="Times New Roman"/>
          <w:sz w:val="24"/>
          <w:szCs w:val="24"/>
          <w:lang w:eastAsia="es-ES"/>
        </w:rPr>
        <w:t>Con este estudio se busca analizar la actividad de extracción de tejidos en donantes de órganos en España durante el periodo 2024–2025 en función de los diferentes rangos de edad, con el fin de identificar patrones de aprovechamiento tisular y detectar posibles áreas de mejora en los procesos de donación. Asimismo, se pretende valorar la contribución de dicha actividad a la autosuficiencia de los bancos de tejidos, entendida como</w:t>
      </w:r>
      <w:r>
        <w:rPr>
          <w:rFonts w:ascii="Times New Roman" w:eastAsia="Times New Roman" w:hAnsi="Times New Roman" w:cs="Times New Roman"/>
          <w:sz w:val="24"/>
          <w:szCs w:val="24"/>
          <w:lang w:eastAsia="es-ES"/>
        </w:rPr>
        <w:t>,</w:t>
      </w:r>
      <w:r w:rsidRPr="005C4FA0">
        <w:rPr>
          <w:rFonts w:ascii="Times New Roman" w:eastAsia="Times New Roman" w:hAnsi="Times New Roman" w:cs="Times New Roman"/>
          <w:sz w:val="24"/>
          <w:szCs w:val="24"/>
          <w:lang w:eastAsia="es-ES"/>
        </w:rPr>
        <w:t xml:space="preserve"> la capacidad del sistema para cubrir la demanda  con recursos propios</w:t>
      </w:r>
      <w:r>
        <w:rPr>
          <w:rFonts w:ascii="Times New Roman" w:eastAsia="Times New Roman" w:hAnsi="Times New Roman" w:cs="Times New Roman"/>
          <w:sz w:val="24"/>
          <w:szCs w:val="24"/>
          <w:lang w:eastAsia="es-ES"/>
        </w:rPr>
        <w:t>,</w:t>
      </w:r>
      <w:r w:rsidRPr="005C4FA0">
        <w:rPr>
          <w:rFonts w:ascii="Times New Roman" w:eastAsia="Times New Roman" w:hAnsi="Times New Roman" w:cs="Times New Roman"/>
          <w:sz w:val="24"/>
          <w:szCs w:val="24"/>
          <w:lang w:eastAsia="es-ES"/>
        </w:rPr>
        <w:t xml:space="preserve"> de forma eficiente y sostenible.</w:t>
      </w:r>
    </w:p>
    <w:p w:rsidR="00B21CC9" w:rsidRPr="00275BD6" w:rsidRDefault="00B21CC9" w:rsidP="00B21CC9">
      <w:pPr>
        <w:spacing w:before="100" w:beforeAutospacing="1" w:after="100" w:afterAutospacing="1" w:line="240" w:lineRule="auto"/>
        <w:outlineLvl w:val="1"/>
        <w:rPr>
          <w:rFonts w:ascii="Times New Roman" w:eastAsia="Times New Roman" w:hAnsi="Times New Roman" w:cs="Times New Roman"/>
          <w:b/>
          <w:bCs/>
          <w:sz w:val="36"/>
          <w:szCs w:val="36"/>
          <w:lang w:eastAsia="es-ES"/>
        </w:rPr>
      </w:pPr>
      <w:r w:rsidRPr="00275BD6">
        <w:rPr>
          <w:rFonts w:ascii="Times New Roman" w:eastAsia="Times New Roman" w:hAnsi="Times New Roman" w:cs="Times New Roman"/>
          <w:b/>
          <w:bCs/>
          <w:sz w:val="36"/>
          <w:szCs w:val="36"/>
          <w:lang w:eastAsia="es-ES"/>
        </w:rPr>
        <w:t>Metodología</w:t>
      </w:r>
    </w:p>
    <w:p w:rsidR="00B21CC9" w:rsidRPr="00275BD6" w:rsidRDefault="00B21CC9" w:rsidP="00B21CC9">
      <w:pPr>
        <w:spacing w:before="100" w:beforeAutospacing="1" w:after="100" w:afterAutospacing="1" w:line="240" w:lineRule="auto"/>
        <w:rPr>
          <w:rFonts w:ascii="Times New Roman" w:eastAsia="Times New Roman" w:hAnsi="Times New Roman" w:cs="Times New Roman"/>
          <w:sz w:val="24"/>
          <w:szCs w:val="24"/>
          <w:lang w:eastAsia="es-ES"/>
        </w:rPr>
      </w:pPr>
      <w:r w:rsidRPr="00275BD6">
        <w:rPr>
          <w:rFonts w:ascii="Times New Roman" w:eastAsia="Times New Roman" w:hAnsi="Times New Roman" w:cs="Times New Roman"/>
          <w:sz w:val="24"/>
          <w:szCs w:val="24"/>
          <w:lang w:eastAsia="es-ES"/>
        </w:rPr>
        <w:t>Estudio observaciona</w:t>
      </w:r>
      <w:r>
        <w:rPr>
          <w:rFonts w:ascii="Times New Roman" w:eastAsia="Times New Roman" w:hAnsi="Times New Roman" w:cs="Times New Roman"/>
          <w:sz w:val="24"/>
          <w:szCs w:val="24"/>
          <w:lang w:eastAsia="es-ES"/>
        </w:rPr>
        <w:t xml:space="preserve">l retrospectivo a partir del </w:t>
      </w:r>
      <w:r w:rsidRPr="00275BD6">
        <w:rPr>
          <w:rFonts w:ascii="Times New Roman" w:eastAsia="Times New Roman" w:hAnsi="Times New Roman" w:cs="Times New Roman"/>
          <w:sz w:val="24"/>
          <w:szCs w:val="24"/>
          <w:lang w:eastAsia="es-ES"/>
        </w:rPr>
        <w:t>registro nacional de la Organización Nacional de Trasplantes</w:t>
      </w:r>
      <w:r w:rsidR="005C4FA0">
        <w:rPr>
          <w:rFonts w:ascii="Times New Roman" w:eastAsia="Times New Roman" w:hAnsi="Times New Roman" w:cs="Times New Roman"/>
          <w:sz w:val="24"/>
          <w:szCs w:val="24"/>
          <w:lang w:eastAsia="es-ES"/>
        </w:rPr>
        <w:t xml:space="preserve"> CORE</w:t>
      </w:r>
      <w:r w:rsidRPr="00275BD6">
        <w:rPr>
          <w:rFonts w:ascii="Times New Roman" w:eastAsia="Times New Roman" w:hAnsi="Times New Roman" w:cs="Times New Roman"/>
          <w:sz w:val="24"/>
          <w:szCs w:val="24"/>
          <w:lang w:eastAsia="es-ES"/>
        </w:rPr>
        <w:t xml:space="preserve"> correspondiente a los años 2024 y 2025.</w:t>
      </w:r>
    </w:p>
    <w:p w:rsidR="00B21CC9" w:rsidRPr="00275BD6" w:rsidRDefault="00B21CC9" w:rsidP="00B21CC9">
      <w:pPr>
        <w:spacing w:before="100" w:beforeAutospacing="1" w:after="100" w:afterAutospacing="1" w:line="240" w:lineRule="auto"/>
        <w:rPr>
          <w:rFonts w:ascii="Times New Roman" w:eastAsia="Times New Roman" w:hAnsi="Times New Roman" w:cs="Times New Roman"/>
          <w:sz w:val="24"/>
          <w:szCs w:val="24"/>
          <w:lang w:eastAsia="es-ES"/>
        </w:rPr>
      </w:pPr>
      <w:r w:rsidRPr="00275BD6">
        <w:rPr>
          <w:rFonts w:ascii="Times New Roman" w:eastAsia="Times New Roman" w:hAnsi="Times New Roman" w:cs="Times New Roman"/>
          <w:sz w:val="24"/>
          <w:szCs w:val="24"/>
          <w:lang w:eastAsia="es-ES"/>
        </w:rPr>
        <w:t xml:space="preserve">Se incluyeron </w:t>
      </w:r>
      <w:r>
        <w:rPr>
          <w:rFonts w:ascii="Times New Roman" w:eastAsia="Times New Roman" w:hAnsi="Times New Roman" w:cs="Times New Roman"/>
          <w:sz w:val="24"/>
          <w:szCs w:val="24"/>
          <w:lang w:eastAsia="es-ES"/>
        </w:rPr>
        <w:t xml:space="preserve">5142 </w:t>
      </w:r>
      <w:r w:rsidRPr="00275BD6">
        <w:rPr>
          <w:rFonts w:ascii="Times New Roman" w:eastAsia="Times New Roman" w:hAnsi="Times New Roman" w:cs="Times New Roman"/>
          <w:sz w:val="24"/>
          <w:szCs w:val="24"/>
          <w:lang w:eastAsia="es-ES"/>
        </w:rPr>
        <w:t>donantes efectivos de órganos procedentes de donación en muerte encefálica y en asistolia, excluyéndose los donantes exclusivos de tejidos.</w:t>
      </w:r>
    </w:p>
    <w:p w:rsidR="00B21CC9" w:rsidRPr="00275BD6" w:rsidRDefault="00B21CC9" w:rsidP="00B21CC9">
      <w:pPr>
        <w:spacing w:before="100" w:beforeAutospacing="1" w:after="100" w:afterAutospacing="1" w:line="240" w:lineRule="auto"/>
        <w:outlineLvl w:val="1"/>
        <w:rPr>
          <w:rFonts w:ascii="Times New Roman" w:eastAsia="Times New Roman" w:hAnsi="Times New Roman" w:cs="Times New Roman"/>
          <w:b/>
          <w:bCs/>
          <w:sz w:val="36"/>
          <w:szCs w:val="36"/>
          <w:lang w:eastAsia="es-ES"/>
        </w:rPr>
      </w:pPr>
      <w:r w:rsidRPr="00275BD6">
        <w:rPr>
          <w:rFonts w:ascii="Times New Roman" w:eastAsia="Times New Roman" w:hAnsi="Times New Roman" w:cs="Times New Roman"/>
          <w:b/>
          <w:bCs/>
          <w:sz w:val="36"/>
          <w:szCs w:val="36"/>
          <w:lang w:eastAsia="es-ES"/>
        </w:rPr>
        <w:t>Resultados</w:t>
      </w:r>
    </w:p>
    <w:p w:rsidR="00B21CC9" w:rsidRDefault="00B21CC9" w:rsidP="00B21CC9">
      <w:pPr>
        <w:spacing w:before="100" w:beforeAutospacing="1" w:after="100" w:afterAutospacing="1" w:line="240" w:lineRule="auto"/>
        <w:rPr>
          <w:rFonts w:ascii="Times New Roman" w:eastAsia="Times New Roman" w:hAnsi="Times New Roman" w:cs="Times New Roman"/>
          <w:sz w:val="24"/>
          <w:szCs w:val="24"/>
          <w:lang w:eastAsia="es-ES"/>
        </w:rPr>
      </w:pPr>
      <w:r w:rsidRPr="00DD660E">
        <w:rPr>
          <w:rFonts w:ascii="Times New Roman" w:eastAsia="Times New Roman" w:hAnsi="Times New Roman" w:cs="Times New Roman"/>
          <w:sz w:val="24"/>
          <w:szCs w:val="24"/>
          <w:lang w:eastAsia="es-ES"/>
        </w:rPr>
        <w:t xml:space="preserve">La </w:t>
      </w:r>
      <w:r w:rsidRPr="00DD660E">
        <w:rPr>
          <w:rFonts w:ascii="Times New Roman" w:eastAsia="Times New Roman" w:hAnsi="Times New Roman" w:cs="Times New Roman"/>
          <w:bCs/>
          <w:sz w:val="24"/>
          <w:szCs w:val="24"/>
          <w:lang w:eastAsia="es-ES"/>
        </w:rPr>
        <w:t>edad media de los donantes fue de</w:t>
      </w:r>
      <w:r w:rsidRPr="00275BD6">
        <w:rPr>
          <w:rFonts w:ascii="Times New Roman" w:eastAsia="Times New Roman" w:hAnsi="Times New Roman" w:cs="Times New Roman"/>
          <w:b/>
          <w:bCs/>
          <w:sz w:val="24"/>
          <w:szCs w:val="24"/>
          <w:lang w:eastAsia="es-ES"/>
        </w:rPr>
        <w:t xml:space="preserve"> 60,9 ± 15,4 años</w:t>
      </w:r>
      <w:r>
        <w:rPr>
          <w:rFonts w:ascii="Times New Roman" w:eastAsia="Times New Roman" w:hAnsi="Times New Roman" w:cs="Times New Roman"/>
          <w:sz w:val="24"/>
          <w:szCs w:val="24"/>
          <w:lang w:eastAsia="es-ES"/>
        </w:rPr>
        <w:t>, con un promedio global de 8,7 tejidos obtenidos por donante.</w:t>
      </w:r>
    </w:p>
    <w:p w:rsidR="00B21CC9" w:rsidRDefault="00B21CC9" w:rsidP="00B21CC9">
      <w:pPr>
        <w:spacing w:before="100" w:beforeAutospacing="1" w:after="100" w:afterAutospacing="1" w:line="240" w:lineRule="auto"/>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t>Los hallazgos principales muestran que:</w:t>
      </w:r>
    </w:p>
    <w:p w:rsidR="00B21CC9" w:rsidRPr="00BD4A7B" w:rsidRDefault="00B21CC9" w:rsidP="00BD4A7B">
      <w:pPr>
        <w:pStyle w:val="Prrafodelista"/>
        <w:numPr>
          <w:ilvl w:val="0"/>
          <w:numId w:val="2"/>
        </w:numPr>
        <w:spacing w:before="100" w:beforeAutospacing="1" w:after="100" w:afterAutospacing="1" w:line="240" w:lineRule="auto"/>
        <w:rPr>
          <w:rFonts w:ascii="Times New Roman" w:eastAsia="Times New Roman" w:hAnsi="Times New Roman" w:cs="Times New Roman"/>
          <w:sz w:val="24"/>
          <w:szCs w:val="24"/>
          <w:lang w:eastAsia="es-ES"/>
        </w:rPr>
      </w:pPr>
      <w:r w:rsidRPr="00BD4A7B">
        <w:rPr>
          <w:rFonts w:ascii="Times New Roman" w:eastAsia="Times New Roman" w:hAnsi="Times New Roman" w:cs="Times New Roman"/>
          <w:sz w:val="24"/>
          <w:szCs w:val="24"/>
          <w:lang w:eastAsia="es-ES"/>
        </w:rPr>
        <w:lastRenderedPageBreak/>
        <w:t>La extracción de córneas mantiene una eficiencia elevada en todos los grupos, incluso en donantes ≥80 años.</w:t>
      </w:r>
    </w:p>
    <w:p w:rsidR="00B21CC9" w:rsidRPr="00BD4A7B" w:rsidRDefault="00B21CC9" w:rsidP="00BD4A7B">
      <w:pPr>
        <w:pStyle w:val="Prrafodelista"/>
        <w:numPr>
          <w:ilvl w:val="0"/>
          <w:numId w:val="2"/>
        </w:numPr>
        <w:spacing w:before="100" w:beforeAutospacing="1" w:after="100" w:afterAutospacing="1" w:line="240" w:lineRule="auto"/>
        <w:rPr>
          <w:rFonts w:ascii="Times New Roman" w:eastAsia="Times New Roman" w:hAnsi="Times New Roman" w:cs="Times New Roman"/>
          <w:sz w:val="24"/>
          <w:szCs w:val="24"/>
          <w:lang w:eastAsia="es-ES"/>
        </w:rPr>
      </w:pPr>
      <w:r w:rsidRPr="00BD4A7B">
        <w:rPr>
          <w:rFonts w:ascii="Times New Roman" w:eastAsia="Times New Roman" w:hAnsi="Times New Roman" w:cs="Times New Roman"/>
          <w:sz w:val="24"/>
          <w:szCs w:val="24"/>
          <w:lang w:eastAsia="es-ES"/>
        </w:rPr>
        <w:t xml:space="preserve">Se identificó un descenso estadísticamente significativo, en la obtención de tejido </w:t>
      </w:r>
      <w:proofErr w:type="spellStart"/>
      <w:r w:rsidRPr="00BD4A7B">
        <w:rPr>
          <w:rFonts w:ascii="Times New Roman" w:eastAsia="Times New Roman" w:hAnsi="Times New Roman" w:cs="Times New Roman"/>
          <w:sz w:val="24"/>
          <w:szCs w:val="24"/>
          <w:lang w:eastAsia="es-ES"/>
        </w:rPr>
        <w:t>osteotendinoso</w:t>
      </w:r>
      <w:proofErr w:type="spellEnd"/>
      <w:r w:rsidRPr="00BD4A7B">
        <w:rPr>
          <w:rFonts w:ascii="Times New Roman" w:eastAsia="Times New Roman" w:hAnsi="Times New Roman" w:cs="Times New Roman"/>
          <w:sz w:val="24"/>
          <w:szCs w:val="24"/>
          <w:lang w:eastAsia="es-ES"/>
        </w:rPr>
        <w:t xml:space="preserve"> y vascular a partir de los 70 años.</w:t>
      </w:r>
    </w:p>
    <w:p w:rsidR="00B21CC9" w:rsidRPr="00BD4A7B" w:rsidRDefault="00B21CC9" w:rsidP="00BD4A7B">
      <w:pPr>
        <w:pStyle w:val="Prrafodelista"/>
        <w:numPr>
          <w:ilvl w:val="0"/>
          <w:numId w:val="2"/>
        </w:numPr>
        <w:spacing w:after="0" w:line="240" w:lineRule="auto"/>
        <w:rPr>
          <w:rFonts w:ascii="Times New Roman" w:eastAsia="Times New Roman" w:hAnsi="Times New Roman" w:cs="Times New Roman"/>
          <w:sz w:val="24"/>
          <w:szCs w:val="24"/>
          <w:lang w:eastAsia="es-ES"/>
        </w:rPr>
      </w:pPr>
      <w:r w:rsidRPr="00BD4A7B">
        <w:rPr>
          <w:rFonts w:ascii="Times New Roman" w:eastAsia="Times New Roman" w:hAnsi="Times New Roman" w:cs="Times New Roman"/>
          <w:sz w:val="24"/>
          <w:szCs w:val="24"/>
          <w:lang w:eastAsia="es-ES"/>
        </w:rPr>
        <w:t>El volumen de tejidos extraídos fue significativamente superior en los grupos menores de 60 años, mientras que en los mayores de 80 años la actividad se concentró mayoritariamente en el tejido ocular.</w:t>
      </w:r>
    </w:p>
    <w:p w:rsidR="00B21CC9" w:rsidRPr="00B21CC9" w:rsidRDefault="00B21CC9" w:rsidP="00B21CC9">
      <w:pPr>
        <w:spacing w:before="100" w:beforeAutospacing="1" w:after="100" w:afterAutospacing="1" w:line="240" w:lineRule="auto"/>
        <w:outlineLvl w:val="1"/>
        <w:rPr>
          <w:rFonts w:ascii="Times New Roman" w:eastAsia="Times New Roman" w:hAnsi="Times New Roman" w:cs="Times New Roman"/>
          <w:b/>
          <w:bCs/>
          <w:sz w:val="36"/>
          <w:szCs w:val="36"/>
          <w:lang w:eastAsia="es-ES"/>
        </w:rPr>
      </w:pPr>
      <w:r w:rsidRPr="00B21CC9">
        <w:rPr>
          <w:rFonts w:ascii="Times New Roman" w:eastAsia="Times New Roman" w:hAnsi="Times New Roman" w:cs="Times New Roman"/>
          <w:b/>
          <w:bCs/>
          <w:sz w:val="36"/>
          <w:szCs w:val="36"/>
          <w:lang w:eastAsia="es-ES"/>
        </w:rPr>
        <w:t>Conclusiones</w:t>
      </w:r>
    </w:p>
    <w:p w:rsidR="00B21CC9" w:rsidRPr="00B21CC9" w:rsidRDefault="005C4FA0" w:rsidP="00B21CC9">
      <w:pPr>
        <w:spacing w:before="100" w:beforeAutospacing="1" w:after="100" w:afterAutospacing="1" w:line="240" w:lineRule="auto"/>
        <w:outlineLvl w:val="1"/>
        <w:rPr>
          <w:rFonts w:ascii="Times New Roman" w:eastAsia="Times New Roman" w:hAnsi="Times New Roman" w:cs="Times New Roman"/>
          <w:bCs/>
          <w:sz w:val="24"/>
          <w:szCs w:val="24"/>
          <w:lang w:eastAsia="es-ES"/>
        </w:rPr>
      </w:pPr>
      <w:r>
        <w:rPr>
          <w:rFonts w:ascii="Times New Roman" w:eastAsia="Times New Roman" w:hAnsi="Times New Roman" w:cs="Times New Roman"/>
          <w:bCs/>
          <w:sz w:val="24"/>
          <w:szCs w:val="24"/>
          <w:lang w:eastAsia="es-ES"/>
        </w:rPr>
        <w:t xml:space="preserve">El sistema español </w:t>
      </w:r>
      <w:r w:rsidR="00B21CC9" w:rsidRPr="00DD660E">
        <w:rPr>
          <w:rFonts w:ascii="Times New Roman" w:eastAsia="Times New Roman" w:hAnsi="Times New Roman" w:cs="Times New Roman"/>
          <w:bCs/>
          <w:sz w:val="24"/>
          <w:szCs w:val="24"/>
          <w:lang w:eastAsia="es-ES"/>
        </w:rPr>
        <w:t>muestra una elevada eficiencia en el apr</w:t>
      </w:r>
      <w:r w:rsidR="00BD4A7B">
        <w:rPr>
          <w:rFonts w:ascii="Times New Roman" w:eastAsia="Times New Roman" w:hAnsi="Times New Roman" w:cs="Times New Roman"/>
          <w:bCs/>
          <w:sz w:val="24"/>
          <w:szCs w:val="24"/>
          <w:lang w:eastAsia="es-ES"/>
        </w:rPr>
        <w:t>ovechamiento tisular en</w:t>
      </w:r>
      <w:r w:rsidR="00B21CC9" w:rsidRPr="00DD660E">
        <w:rPr>
          <w:rFonts w:ascii="Times New Roman" w:eastAsia="Times New Roman" w:hAnsi="Times New Roman" w:cs="Times New Roman"/>
          <w:bCs/>
          <w:sz w:val="24"/>
          <w:szCs w:val="24"/>
          <w:lang w:eastAsia="es-ES"/>
        </w:rPr>
        <w:t xml:space="preserve"> todos los rangos de edad, reafirmando el papel crítico del donante añoso.</w:t>
      </w:r>
    </w:p>
    <w:p w:rsidR="00B21CC9" w:rsidRPr="00B21CC9" w:rsidRDefault="00B21CC9" w:rsidP="00B21CC9">
      <w:pPr>
        <w:spacing w:before="100" w:beforeAutospacing="1" w:after="100" w:afterAutospacing="1" w:line="240" w:lineRule="auto"/>
        <w:outlineLvl w:val="1"/>
        <w:rPr>
          <w:rFonts w:ascii="Times New Roman" w:eastAsia="Times New Roman" w:hAnsi="Times New Roman" w:cs="Times New Roman"/>
          <w:bCs/>
          <w:sz w:val="24"/>
          <w:szCs w:val="24"/>
          <w:lang w:eastAsia="es-ES"/>
        </w:rPr>
      </w:pPr>
      <w:r w:rsidRPr="00DD660E">
        <w:rPr>
          <w:rFonts w:ascii="Times New Roman" w:eastAsia="Times New Roman" w:hAnsi="Times New Roman" w:cs="Times New Roman"/>
          <w:bCs/>
          <w:sz w:val="24"/>
          <w:szCs w:val="24"/>
          <w:lang w:eastAsia="es-ES"/>
        </w:rPr>
        <w:t xml:space="preserve"> Los resultados sugieren que la edad cronológica por sí sola no debe ser un criterio excluyente en la valoración tisular, especialmente en el caso de las córneas.</w:t>
      </w:r>
    </w:p>
    <w:p w:rsidR="00B21CC9" w:rsidRPr="00DD660E" w:rsidRDefault="00B21CC9" w:rsidP="00B21CC9">
      <w:pPr>
        <w:spacing w:before="100" w:beforeAutospacing="1" w:after="100" w:afterAutospacing="1" w:line="240" w:lineRule="auto"/>
        <w:outlineLvl w:val="1"/>
        <w:rPr>
          <w:rFonts w:ascii="Times New Roman" w:eastAsia="Times New Roman" w:hAnsi="Times New Roman" w:cs="Times New Roman"/>
          <w:bCs/>
          <w:sz w:val="24"/>
          <w:szCs w:val="24"/>
          <w:lang w:eastAsia="es-ES"/>
        </w:rPr>
      </w:pPr>
      <w:r w:rsidRPr="00DD660E">
        <w:rPr>
          <w:rFonts w:ascii="Times New Roman" w:eastAsia="Times New Roman" w:hAnsi="Times New Roman" w:cs="Times New Roman"/>
          <w:bCs/>
          <w:sz w:val="24"/>
          <w:szCs w:val="24"/>
          <w:lang w:eastAsia="es-ES"/>
        </w:rPr>
        <w:t>Este análisis sistemático permite identificar oportunidades para optimizar la evaluación y selección de donantes, fortaleciendo así la disponibilidad nacional de tejidos para trasplante.</w:t>
      </w:r>
    </w:p>
    <w:p w:rsidR="005D74FE" w:rsidRPr="00B21CC9" w:rsidRDefault="005D74FE" w:rsidP="00B21CC9"/>
    <w:sectPr w:rsidR="005D74FE" w:rsidRPr="00B21CC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76B4A22"/>
    <w:multiLevelType w:val="hybridMultilevel"/>
    <w:tmpl w:val="F510317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6A8122EB"/>
    <w:multiLevelType w:val="multilevel"/>
    <w:tmpl w:val="7F3E04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0D69"/>
    <w:rsid w:val="00136434"/>
    <w:rsid w:val="00594282"/>
    <w:rsid w:val="005C4FA0"/>
    <w:rsid w:val="005D74FE"/>
    <w:rsid w:val="00740D69"/>
    <w:rsid w:val="00A960A8"/>
    <w:rsid w:val="00AA1C8A"/>
    <w:rsid w:val="00B21CC9"/>
    <w:rsid w:val="00BD4A7B"/>
    <w:rsid w:val="00C02FDA"/>
    <w:rsid w:val="00CC17B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DF584B"/>
  <w15:docId w15:val="{FAB19208-DE55-41EC-B498-3940953A1C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960A8"/>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136434"/>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Textoennegrita">
    <w:name w:val="Strong"/>
    <w:basedOn w:val="Fuentedeprrafopredeter"/>
    <w:uiPriority w:val="22"/>
    <w:qFormat/>
    <w:rsid w:val="00136434"/>
    <w:rPr>
      <w:b/>
      <w:bCs/>
    </w:rPr>
  </w:style>
  <w:style w:type="character" w:styleId="nfasis">
    <w:name w:val="Emphasis"/>
    <w:basedOn w:val="Fuentedeprrafopredeter"/>
    <w:uiPriority w:val="20"/>
    <w:qFormat/>
    <w:rsid w:val="00136434"/>
    <w:rPr>
      <w:i/>
      <w:iCs/>
    </w:rPr>
  </w:style>
  <w:style w:type="paragraph" w:styleId="Prrafodelista">
    <w:name w:val="List Paragraph"/>
    <w:basedOn w:val="Normal"/>
    <w:uiPriority w:val="34"/>
    <w:qFormat/>
    <w:rsid w:val="00BD4A7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9796522">
      <w:bodyDiv w:val="1"/>
      <w:marLeft w:val="0"/>
      <w:marRight w:val="0"/>
      <w:marTop w:val="0"/>
      <w:marBottom w:val="0"/>
      <w:divBdr>
        <w:top w:val="none" w:sz="0" w:space="0" w:color="auto"/>
        <w:left w:val="none" w:sz="0" w:space="0" w:color="auto"/>
        <w:bottom w:val="none" w:sz="0" w:space="0" w:color="auto"/>
        <w:right w:val="none" w:sz="0" w:space="0" w:color="auto"/>
      </w:divBdr>
    </w:div>
    <w:div w:id="1917084455">
      <w:bodyDiv w:val="1"/>
      <w:marLeft w:val="0"/>
      <w:marRight w:val="0"/>
      <w:marTop w:val="0"/>
      <w:marBottom w:val="0"/>
      <w:divBdr>
        <w:top w:val="none" w:sz="0" w:space="0" w:color="auto"/>
        <w:left w:val="none" w:sz="0" w:space="0" w:color="auto"/>
        <w:bottom w:val="none" w:sz="0" w:space="0" w:color="auto"/>
        <w:right w:val="none" w:sz="0" w:space="0" w:color="auto"/>
      </w:divBdr>
      <w:divsChild>
        <w:div w:id="73436025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62FD1F75</Template>
  <TotalTime>32</TotalTime>
  <Pages>2</Pages>
  <Words>436</Words>
  <Characters>2400</Characters>
  <Application>Microsoft Office Word</Application>
  <DocSecurity>0</DocSecurity>
  <Lines>20</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Castro Camarero. Raquel</dc:creator>
  <cp:keywords/>
  <dc:description/>
  <cp:lastModifiedBy>Castro Camarero. Raquel</cp:lastModifiedBy>
  <cp:revision>9</cp:revision>
  <dcterms:created xsi:type="dcterms:W3CDTF">2026-02-25T20:07:00Z</dcterms:created>
  <dcterms:modified xsi:type="dcterms:W3CDTF">2026-04-26T23:32:00Z</dcterms:modified>
</cp:coreProperties>
</file>